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83A0" w14:textId="77777777" w:rsidR="000C71EB" w:rsidRPr="007F6C8C" w:rsidRDefault="00674FCA">
      <w:pPr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Este anexo reúne a estimativa da outorga mínima e os dados de referência para a proposta relativa à folha de pagamento da Prefeitura e do Fundo de Aposentadoria e Pensão — FAP (Módulo A) e às ordens de pagamento a credores elegíveis (Módulo B). </w:t>
      </w:r>
    </w:p>
    <w:p w14:paraId="5BEA5E3A" w14:textId="77777777" w:rsidR="000C71EB" w:rsidRPr="007F6C8C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1</w:t>
      </w:r>
      <w:r w:rsidR="007F6C8C" w:rsidRP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Cálculo do piso da outorga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4496"/>
      </w:tblGrid>
      <w:tr w:rsidR="000C71EB" w:rsidRPr="007F6C8C" w14:paraId="0FEBEDB9" w14:textId="77777777" w:rsidTr="007F6C8C">
        <w:trPr>
          <w:cantSplit/>
          <w:tblHeader/>
          <w:jc w:val="center"/>
        </w:trPr>
        <w:tc>
          <w:tcPr>
            <w:tcW w:w="2268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92DB8D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Parâmetro</w:t>
            </w:r>
          </w:p>
        </w:tc>
        <w:tc>
          <w:tcPr>
            <w:tcW w:w="3402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195E9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Valor de referência</w:t>
            </w:r>
          </w:p>
        </w:tc>
        <w:tc>
          <w:tcPr>
            <w:tcW w:w="4496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A4F513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Origem ou aplicação</w:t>
            </w:r>
          </w:p>
        </w:tc>
      </w:tr>
      <w:tr w:rsidR="000C71EB" w:rsidRPr="007F6C8C" w14:paraId="54E608BC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0B88E7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Outorga histórica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8FF6A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R$ 2.877.966,54</w:t>
            </w:r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FF77F9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Contrato nº 015/2021</w:t>
            </w:r>
          </w:p>
        </w:tc>
      </w:tr>
      <w:tr w:rsidR="000C71EB" w:rsidRPr="007F6C8C" w14:paraId="039181A9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7EA088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Base histórica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5558DE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 xml:space="preserve">1.759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matrículas</w:t>
            </w:r>
            <w:proofErr w:type="spellEnd"/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D3EF6DE" w14:textId="77777777" w:rsidR="000C71EB" w:rsidRPr="007F6C8C" w:rsidRDefault="007F6C8C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-</w:t>
            </w:r>
          </w:p>
        </w:tc>
      </w:tr>
      <w:tr w:rsidR="000C71EB" w:rsidRPr="007F6C8C" w14:paraId="62AB5693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027F02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Prazo histórico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7351E7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60 meses</w:t>
            </w:r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DEF00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Contrato utilizado como referência</w:t>
            </w:r>
          </w:p>
        </w:tc>
      </w:tr>
      <w:tr w:rsidR="000C71EB" w:rsidRPr="007F6C8C" w14:paraId="442B2C59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2253891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Valor unitário VU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8F7F37C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R$ 27,2689647527…</w:t>
            </w:r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44A99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Por matrícula elegível e por mês</w:t>
            </w:r>
          </w:p>
        </w:tc>
      </w:tr>
      <w:tr w:rsidR="000C71EB" w:rsidRPr="007F6C8C" w14:paraId="09EACFE9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511D2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 xml:space="preserve">Base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atual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Q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DD97F8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2.838 matrículas</w:t>
            </w:r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FDFD49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2.095,46 + 742,50 = 2.837,96; arredondada</w:t>
            </w:r>
          </w:p>
        </w:tc>
      </w:tr>
      <w:tr w:rsidR="000C71EB" w:rsidRPr="007F6C8C" w14:paraId="3DFB4865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36D0D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Prazo operacional T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1F5E474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60 meses</w:t>
            </w:r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149F9A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Excluído o período de implantação</w:t>
            </w:r>
          </w:p>
        </w:tc>
      </w:tr>
      <w:tr w:rsidR="000C71EB" w:rsidRPr="007F6C8C" w14:paraId="733EF1FF" w14:textId="77777777" w:rsidTr="007F6C8C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152487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 xml:space="preserve">Piso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proposto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P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227471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R$ 4.643.359,32</w:t>
            </w:r>
          </w:p>
        </w:tc>
        <w:tc>
          <w:tcPr>
            <w:tcW w:w="449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DEA3CE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Resultado arredondado ao centavo</w:t>
            </w:r>
          </w:p>
        </w:tc>
      </w:tr>
    </w:tbl>
    <w:p w14:paraId="50D6C483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A3DBF9D" w14:textId="77777777" w:rsidR="000C71EB" w:rsidRPr="007F6C8C" w:rsidRDefault="00674FCA">
      <w:pPr>
        <w:spacing w:before="80" w:after="160"/>
        <w:jc w:val="center"/>
        <w:rPr>
          <w:rFonts w:asciiTheme="minorHAnsi" w:hAnsiTheme="minorHAnsi"/>
          <w:sz w:val="24"/>
          <w:szCs w:val="24"/>
        </w:rPr>
      </w:pPr>
      <m:oMathPara>
        <m:oMath>
          <m:r>
            <m:rPr>
              <m:nor/>
            </m:rPr>
            <w:rPr>
              <w:rFonts w:asciiTheme="minorHAnsi" w:hAnsiTheme="minorHAnsi"/>
              <w:sz w:val="24"/>
              <w:szCs w:val="24"/>
            </w:rPr>
            <m:t>VU = 2.877.966,54 ÷ 1.759 ÷ 60</m:t>
          </m:r>
        </m:oMath>
      </m:oMathPara>
    </w:p>
    <w:p w14:paraId="0DECC4B4" w14:textId="77777777" w:rsidR="000C71EB" w:rsidRPr="007F6C8C" w:rsidRDefault="00674FCA">
      <w:pPr>
        <w:spacing w:before="80" w:after="160"/>
        <w:jc w:val="center"/>
        <w:rPr>
          <w:rFonts w:asciiTheme="minorHAnsi" w:hAnsiTheme="minorHAnsi"/>
          <w:sz w:val="24"/>
          <w:szCs w:val="24"/>
        </w:rPr>
      </w:pPr>
      <m:oMathPara>
        <m:oMath>
          <m:r>
            <m:rPr>
              <m:nor/>
            </m:rPr>
            <w:rPr>
              <w:rFonts w:asciiTheme="minorHAnsi" w:hAnsiTheme="minorHAnsi"/>
              <w:sz w:val="24"/>
              <w:szCs w:val="24"/>
            </w:rPr>
            <m:t>P = VU × Q × T = 2.877.966,54 × 2.838 ÷ 1.759 = R$ 4.643.359,32</m:t>
          </m:r>
        </m:oMath>
      </m:oMathPara>
    </w:p>
    <w:p w14:paraId="4F42D8A0" w14:textId="77777777" w:rsidR="000C71EB" w:rsidRPr="007F6C8C" w:rsidRDefault="00674FCA" w:rsidP="007F6C8C">
      <w:pPr>
        <w:pStyle w:val="Ttulo1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2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Base de matrículas e valores da folha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67"/>
        <w:gridCol w:w="2362"/>
        <w:gridCol w:w="2318"/>
        <w:gridCol w:w="2419"/>
      </w:tblGrid>
      <w:tr w:rsidR="000C71EB" w:rsidRPr="007F6C8C" w14:paraId="745C6AE4" w14:textId="77777777">
        <w:trPr>
          <w:cantSplit/>
          <w:tblHeader/>
          <w:jc w:val="center"/>
        </w:trPr>
        <w:tc>
          <w:tcPr>
            <w:tcW w:w="3067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27D448C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Indicador</w:t>
            </w:r>
          </w:p>
        </w:tc>
        <w:tc>
          <w:tcPr>
            <w:tcW w:w="2362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ABB813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Prefeitura</w:t>
            </w:r>
          </w:p>
        </w:tc>
        <w:tc>
          <w:tcPr>
            <w:tcW w:w="2318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5899A1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FAP</w:t>
            </w:r>
          </w:p>
        </w:tc>
        <w:tc>
          <w:tcPr>
            <w:tcW w:w="2419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0AAB5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Consolidado</w:t>
            </w:r>
          </w:p>
        </w:tc>
      </w:tr>
      <w:tr w:rsidR="000C71EB" w:rsidRPr="007F6C8C" w14:paraId="00AA4420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87DACC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Média de matrículas informada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85B3DF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2.095,46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65127C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742,50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382EC25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2.837,96</w:t>
            </w:r>
          </w:p>
        </w:tc>
      </w:tr>
      <w:tr w:rsidR="000C71EB" w:rsidRPr="007F6C8C" w14:paraId="7335B5DF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043CB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Período da média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0992D92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ago/2025 a ago/2026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  <w:t>13 competências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75DBCC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jan a ago/2026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  <w:t>8 competências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7DE136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Períodos diferentes</w:t>
            </w:r>
          </w:p>
        </w:tc>
      </w:tr>
      <w:tr w:rsidR="000C71EB" w:rsidRPr="007F6C8C" w14:paraId="2BD0FD27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8F235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Posição de agosto de 2026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4CDAFE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2.092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379EFE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749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F56282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2.841</w:t>
            </w:r>
          </w:p>
        </w:tc>
      </w:tr>
      <w:tr w:rsidR="000C71EB" w:rsidRPr="007F6C8C" w14:paraId="5700E627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8C988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lastRenderedPageBreak/>
              <w:t>Folha bruta mensal aproximada¹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C491A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R$ 7.101.224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F15150E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R$ 2.327.299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D57BF2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R$ 9.428.523</w:t>
            </w:r>
          </w:p>
        </w:tc>
      </w:tr>
      <w:tr w:rsidR="000C71EB" w:rsidRPr="007F6C8C" w14:paraId="0B0FD8F8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88A4DF1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Folha líquida mensal ordinária¹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DD065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R$ 5.738.146,41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49381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R$ 1.950.940,84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FA515A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R$ 7.689.087,25</w:t>
            </w:r>
          </w:p>
        </w:tc>
      </w:tr>
      <w:tr w:rsidR="000C71EB" w:rsidRPr="007F6C8C" w14:paraId="2F329FD7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034B7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Décimo terceiro líquido de 2025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72852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R$ 2.338.175,10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6BAF5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R$ 979.757,06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328C05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R$ 3.317.932,16</w:t>
            </w:r>
          </w:p>
        </w:tc>
      </w:tr>
      <w:tr w:rsidR="000C71EB" w:rsidRPr="007F6C8C" w14:paraId="03D1149B" w14:textId="77777777">
        <w:trPr>
          <w:cantSplit/>
          <w:jc w:val="center"/>
        </w:trPr>
        <w:tc>
          <w:tcPr>
            <w:tcW w:w="306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2AD70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Anualização ilustrativa²</w:t>
            </w:r>
          </w:p>
        </w:tc>
        <w:tc>
          <w:tcPr>
            <w:tcW w:w="236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A8895F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R$ 71.195.932,02</w:t>
            </w:r>
          </w:p>
        </w:tc>
        <w:tc>
          <w:tcPr>
            <w:tcW w:w="231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EDFDD2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R$ 24.391.047,14</w:t>
            </w:r>
          </w:p>
        </w:tc>
        <w:tc>
          <w:tcPr>
            <w:tcW w:w="241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92F3A01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R$ 95.586.979,16</w:t>
            </w:r>
          </w:p>
        </w:tc>
      </w:tr>
    </w:tbl>
    <w:p w14:paraId="0710226E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11057835" w14:textId="77777777" w:rsidR="000C71EB" w:rsidRPr="007F6C8C" w:rsidRDefault="00674FCA" w:rsidP="007F6C8C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¹ Patamar informado para janeiro a agosto de 2026, sem décimo terceiro. Valores brutos estão arredondados à unidade de real. ² Doze vezes o patamar líquido mensal, acrescido do décimo terceiro de 2025. É projeção aritmética com referências de períodos distintos, não execução anual certificada nem previsão de receita bancária.</w:t>
      </w:r>
    </w:p>
    <w:p w14:paraId="19E13D1B" w14:textId="77777777" w:rsidR="000C71EB" w:rsidRPr="007F6C8C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2</w:t>
      </w:r>
      <w:r w:rsidR="007F6C8C" w:rsidRP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>1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Composição em agosto de 2026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77"/>
        <w:gridCol w:w="2045"/>
        <w:gridCol w:w="2045"/>
      </w:tblGrid>
      <w:tr w:rsidR="000C71EB" w:rsidRPr="007F6C8C" w14:paraId="7EB014F3" w14:textId="77777777">
        <w:trPr>
          <w:cantSplit/>
          <w:tblHeader/>
          <w:jc w:val="center"/>
        </w:trPr>
        <w:tc>
          <w:tcPr>
            <w:tcW w:w="6077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0F202F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Vínculo ou categoria</w:t>
            </w:r>
          </w:p>
        </w:tc>
        <w:tc>
          <w:tcPr>
            <w:tcW w:w="2045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685C2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Prefeitura</w:t>
            </w:r>
          </w:p>
        </w:tc>
        <w:tc>
          <w:tcPr>
            <w:tcW w:w="2045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1A4146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FAP</w:t>
            </w:r>
          </w:p>
        </w:tc>
      </w:tr>
      <w:tr w:rsidR="000C71EB" w:rsidRPr="007F6C8C" w14:paraId="7AD62AB8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20A470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Estatutários / efetivos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35147C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1.045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3ACCF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4</w:t>
            </w:r>
          </w:p>
        </w:tc>
      </w:tr>
      <w:tr w:rsidR="000C71EB" w:rsidRPr="007F6C8C" w14:paraId="046382BD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31D2E1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Contratos temporários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73A2EE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527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3E7035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—</w:t>
            </w:r>
          </w:p>
        </w:tc>
      </w:tr>
      <w:tr w:rsidR="000C71EB" w:rsidRPr="007F6C8C" w14:paraId="0F2B24E1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9B4C3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Comissionados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C71B90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368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7957D4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10</w:t>
            </w:r>
          </w:p>
        </w:tc>
      </w:tr>
      <w:tr w:rsidR="000C71EB" w:rsidRPr="007F6C8C" w14:paraId="57DA182C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327C7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Proces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so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seletivo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CLT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DCD76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81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F41BC1A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</w:tr>
      <w:tr w:rsidR="000C71EB" w:rsidRPr="007F6C8C" w14:paraId="6D9297C3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DE2AF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Secretários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A22736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36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B15EE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</w:tr>
      <w:tr w:rsidR="000C71EB" w:rsidRPr="007F6C8C" w14:paraId="2609AE58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D4F77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CLT estáveis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278D1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23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5C8FE9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</w:tr>
      <w:tr w:rsidR="000C71EB" w:rsidRPr="007F6C8C" w14:paraId="3BEF5BEA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72317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Conselheiros tutelares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E1B29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8C7849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</w:tr>
      <w:tr w:rsidR="000C71EB" w:rsidRPr="007F6C8C" w14:paraId="3ECE4613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8A60037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Estatutários inativos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63208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E315F5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</w:tr>
      <w:tr w:rsidR="000C71EB" w:rsidRPr="007F6C8C" w14:paraId="415C0DAC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631A3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Prefeito e vice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F1D5F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A98B91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</w:tr>
      <w:tr w:rsidR="000C71EB" w:rsidRPr="007F6C8C" w14:paraId="15D8BAAF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854AB7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lastRenderedPageBreak/>
              <w:t>Aposentados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90100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C44D5D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620</w:t>
            </w:r>
          </w:p>
        </w:tc>
      </w:tr>
      <w:tr w:rsidR="000C71EB" w:rsidRPr="007F6C8C" w14:paraId="12006636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7E938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Pensionistas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0EDA41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—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7BCD33C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115</w:t>
            </w:r>
          </w:p>
        </w:tc>
      </w:tr>
      <w:tr w:rsidR="000C71EB" w:rsidRPr="007F6C8C" w14:paraId="02BD047C" w14:textId="77777777">
        <w:trPr>
          <w:cantSplit/>
          <w:jc w:val="center"/>
        </w:trPr>
        <w:tc>
          <w:tcPr>
            <w:tcW w:w="6077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5DEF0C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Total informado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2A87980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2.092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49EAAE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749</w:t>
            </w:r>
          </w:p>
        </w:tc>
      </w:tr>
    </w:tbl>
    <w:p w14:paraId="2861B269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470623D0" w14:textId="77777777" w:rsidR="000C71EB" w:rsidRPr="007F6C8C" w:rsidRDefault="00674FCA" w:rsidP="007F6C8C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A posição de 2.841 registros não substitui a média Q de 2.838 adotada no cálculo. O quadro da Prefeitura inclui quatro estatutários inativos e, por isso, não é descrito neste anexo como composto exclusivamente de ativos.</w:t>
      </w:r>
    </w:p>
    <w:p w14:paraId="5198BFD9" w14:textId="77777777" w:rsidR="000C71EB" w:rsidRPr="007F6C8C" w:rsidRDefault="00674FCA">
      <w:pPr>
        <w:pStyle w:val="Ttulo1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3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Perfil da folha e informações comerciais</w:t>
      </w:r>
    </w:p>
    <w:p w14:paraId="6C04C723" w14:textId="77777777" w:rsidR="000C71EB" w:rsidRPr="007F6C8C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3</w:t>
      </w:r>
      <w:r w:rsidR="007F6C8C" w:rsidRP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>1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Consignações informadas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3499"/>
        <w:gridCol w:w="3499"/>
      </w:tblGrid>
      <w:tr w:rsidR="000C71EB" w:rsidRPr="007F6C8C" w14:paraId="37C67419" w14:textId="77777777">
        <w:trPr>
          <w:cantSplit/>
          <w:tblHeader/>
          <w:jc w:val="center"/>
        </w:trPr>
        <w:tc>
          <w:tcPr>
            <w:tcW w:w="3168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588BB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Indicador</w:t>
            </w:r>
          </w:p>
        </w:tc>
        <w:tc>
          <w:tcPr>
            <w:tcW w:w="3499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F4CB0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Prefeitura</w:t>
            </w:r>
          </w:p>
        </w:tc>
        <w:tc>
          <w:tcPr>
            <w:tcW w:w="3499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1D22A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FAP</w:t>
            </w:r>
          </w:p>
        </w:tc>
      </w:tr>
      <w:tr w:rsidR="000C71EB" w:rsidRPr="007F6C8C" w14:paraId="0411A7BC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60B55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Descontos bancários médios mensais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1A287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R$ 423.784,24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68F5737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R$ 292.086,35</w:t>
            </w:r>
          </w:p>
        </w:tc>
      </w:tr>
      <w:tr w:rsidR="000C71EB" w:rsidRPr="007F6C8C" w14:paraId="2FFD4788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5C871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Margem consignável total informada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B7C5F0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 xml:space="preserve">R$ </w:t>
            </w:r>
            <w:r w:rsidRPr="007F6C8C">
              <w:rPr>
                <w:rFonts w:asciiTheme="minorHAnsi" w:hAnsiTheme="minorHAnsi"/>
                <w:sz w:val="24"/>
                <w:szCs w:val="24"/>
              </w:rPr>
              <w:t>1.488.086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Média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mensal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316BB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R$ 912.204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  <w:t>Agosto de 2026</w:t>
            </w:r>
          </w:p>
        </w:tc>
      </w:tr>
      <w:tr w:rsidR="000C71EB" w:rsidRPr="007F6C8C" w14:paraId="6F5A906A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2AE0B4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Margem utilizada no demonstrativo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F307E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R$ 423.784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  <w:t>Média mensal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82AE0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R$ 312.836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  <w:t>Agosto de 2026</w:t>
            </w:r>
          </w:p>
        </w:tc>
      </w:tr>
      <w:tr w:rsidR="000C71EB" w:rsidRPr="007F6C8C" w14:paraId="1E4B4597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0631EDC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Margem livre informada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A3843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R$ 1.063.670</w:t>
            </w: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br/>
              <w:t>Média dos saldos individuais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D13DE7E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Aproximadamente R$ 599,4 mil</w:t>
            </w: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br/>
              <w:t>Agosto de 2026</w:t>
            </w:r>
          </w:p>
        </w:tc>
      </w:tr>
      <w:tr w:rsidR="000C71EB" w:rsidRPr="007F6C8C" w14:paraId="3B4A86DF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8B9861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 xml:space="preserve">Base e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adesão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informadas</w:t>
            </w:r>
            <w:proofErr w:type="spellEnd"/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59670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1.667 na base de margem;</w:t>
            </w: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br/>
              <w:t>34% com consignado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D29FD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 xml:space="preserve">348 com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consignado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>;</w:t>
            </w:r>
            <w:r w:rsidRPr="007F6C8C">
              <w:rPr>
                <w:rFonts w:asciiTheme="minorHAnsi" w:hAnsiTheme="minorHAnsi"/>
                <w:sz w:val="24"/>
                <w:szCs w:val="24"/>
              </w:rPr>
              <w:br/>
              <w:t xml:space="preserve">46% dos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beneficiários</w:t>
            </w:r>
            <w:proofErr w:type="spellEnd"/>
          </w:p>
        </w:tc>
      </w:tr>
      <w:tr w:rsidR="000C71EB" w:rsidRPr="007F6C8C" w14:paraId="70ACE7C6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24E05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Contratos de consignado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2BF66C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Aproximadamente 1.640</w:t>
            </w:r>
          </w:p>
        </w:tc>
        <w:tc>
          <w:tcPr>
            <w:tcW w:w="3499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D8010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Aproximadamente 738</w:t>
            </w:r>
          </w:p>
        </w:tc>
      </w:tr>
    </w:tbl>
    <w:p w14:paraId="34447C89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426A52EF" w14:textId="77777777" w:rsidR="000C71EB" w:rsidRPr="007F6C8C" w:rsidRDefault="00674FCA" w:rsidP="007F6C8C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O total dos descontos médios é R$ 715.870,59 mensais; são prestações descontadas, não saldo de carteira nem novas contratações. O FAP informa média de descontos de 12 meses, distinta da </w:t>
      </w:r>
      <w:r w:rsidRPr="007F6C8C">
        <w:rPr>
          <w:rFonts w:asciiTheme="minorHAnsi" w:hAnsiTheme="minorHAnsi"/>
          <w:sz w:val="24"/>
          <w:szCs w:val="24"/>
          <w:lang w:val="pt-BR"/>
        </w:rPr>
        <w:lastRenderedPageBreak/>
        <w:t>posição da margem em agosto de 2026. A participação histórica consolidada do banco da folha no consignado é de aproximadamente 26%.</w:t>
      </w:r>
    </w:p>
    <w:p w14:paraId="03FC7963" w14:textId="77777777" w:rsidR="000C71EB" w:rsidRPr="007F6C8C" w:rsidRDefault="00674FCA" w:rsidP="007F6C8C">
      <w:pPr>
        <w:jc w:val="both"/>
        <w:rPr>
          <w:rFonts w:asciiTheme="minorHAnsi" w:hAnsiTheme="minorHAnsi"/>
          <w:sz w:val="24"/>
          <w:szCs w:val="24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Participações informadas por instituição: Prefeitura — Caixa 60,9%, Santander 35,1%, Banco do Brasil 2,0%, Bradesco 1,4% e Sicredi 0,7%; FAP — Caixa 84,8%, Santander 12,8%, Bradesco 2,4% e Sicredi 0,05%. </w:t>
      </w:r>
    </w:p>
    <w:p w14:paraId="07C98749" w14:textId="77777777" w:rsidR="000C71EB" w:rsidRPr="007F6C8C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3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>2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Distribuição do líquido do FAP em agosto de 2026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122"/>
        <w:gridCol w:w="2045"/>
      </w:tblGrid>
      <w:tr w:rsidR="000C71EB" w:rsidRPr="007F6C8C" w14:paraId="7034F3BB" w14:textId="77777777">
        <w:trPr>
          <w:cantSplit/>
          <w:tblHeader/>
          <w:jc w:val="center"/>
        </w:trPr>
        <w:tc>
          <w:tcPr>
            <w:tcW w:w="8122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957B77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Faixa de valor líquido individual</w:t>
            </w:r>
          </w:p>
        </w:tc>
        <w:tc>
          <w:tcPr>
            <w:tcW w:w="2045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5260FB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Registros</w:t>
            </w:r>
            <w:proofErr w:type="spellEnd"/>
          </w:p>
        </w:tc>
      </w:tr>
      <w:tr w:rsidR="000C71EB" w:rsidRPr="007F6C8C" w14:paraId="1D84A361" w14:textId="77777777">
        <w:trPr>
          <w:cantSplit/>
          <w:jc w:val="center"/>
        </w:trPr>
        <w:tc>
          <w:tcPr>
            <w:tcW w:w="81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A77457E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Até R$ 2.000,00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B1D6A8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337</w:t>
            </w:r>
          </w:p>
        </w:tc>
      </w:tr>
      <w:tr w:rsidR="000C71EB" w:rsidRPr="007F6C8C" w14:paraId="19204152" w14:textId="77777777">
        <w:trPr>
          <w:cantSplit/>
          <w:jc w:val="center"/>
        </w:trPr>
        <w:tc>
          <w:tcPr>
            <w:tcW w:w="81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7C8A7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De R$ 2.000,01 a R$ 4.000,00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8D9DDD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269</w:t>
            </w:r>
          </w:p>
        </w:tc>
      </w:tr>
      <w:tr w:rsidR="000C71EB" w:rsidRPr="007F6C8C" w14:paraId="005EECFC" w14:textId="77777777">
        <w:trPr>
          <w:cantSplit/>
          <w:jc w:val="center"/>
        </w:trPr>
        <w:tc>
          <w:tcPr>
            <w:tcW w:w="81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76B3D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De R$ 4.000,01 a R$ 6.000,00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DD284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127</w:t>
            </w:r>
          </w:p>
        </w:tc>
      </w:tr>
      <w:tr w:rsidR="000C71EB" w:rsidRPr="007F6C8C" w14:paraId="13E1E371" w14:textId="77777777">
        <w:trPr>
          <w:cantSplit/>
          <w:jc w:val="center"/>
        </w:trPr>
        <w:tc>
          <w:tcPr>
            <w:tcW w:w="81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B6341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De R$ 6.000,01 a R$ 8.000,00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F87D0A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13</w:t>
            </w:r>
          </w:p>
        </w:tc>
      </w:tr>
      <w:tr w:rsidR="000C71EB" w:rsidRPr="007F6C8C" w14:paraId="28AFD313" w14:textId="77777777">
        <w:trPr>
          <w:cantSplit/>
          <w:jc w:val="center"/>
        </w:trPr>
        <w:tc>
          <w:tcPr>
            <w:tcW w:w="81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DF34CD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Acima de R$ 8.000,00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F972A5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0C71EB" w:rsidRPr="007F6C8C" w14:paraId="53CEDD01" w14:textId="77777777">
        <w:trPr>
          <w:cantSplit/>
          <w:jc w:val="center"/>
        </w:trPr>
        <w:tc>
          <w:tcPr>
            <w:tcW w:w="81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413D0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Total com líquido na distribuição</w:t>
            </w:r>
          </w:p>
        </w:tc>
        <w:tc>
          <w:tcPr>
            <w:tcW w:w="20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DCFB13A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747</w:t>
            </w:r>
          </w:p>
        </w:tc>
      </w:tr>
    </w:tbl>
    <w:p w14:paraId="42014E99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47311840" w14:textId="77777777" w:rsidR="000C71EB" w:rsidRPr="007F6C8C" w:rsidRDefault="00674FCA">
      <w:pPr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Mediana informada: R$ 2.249; média: R$ 2.622. Dois dos 749 registros do FAP não têm líquido na competência, por inclusão ou cessação. De setembro de 2025 a agosto de 2026 foram informadas 53 inclusões e 15 saídas, saldo de 38; </w:t>
      </w:r>
    </w:p>
    <w:p w14:paraId="417C32D4" w14:textId="77777777" w:rsidR="000C71EB" w:rsidRPr="007F6C8C" w:rsidRDefault="00674FCA" w:rsidP="007F6C8C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A instituição atual informada é o Santander, vinculada ao Contrato nº 015/2021. As aproximadamente 425 vagas mencionadas no TR para concurso futuro não estão incluídas em Q e não constituem promessa de nomeação ou crescimento da folha.</w:t>
      </w:r>
    </w:p>
    <w:p w14:paraId="54B6D837" w14:textId="77777777" w:rsidR="000C71EB" w:rsidRPr="007F6C8C" w:rsidRDefault="00674FCA">
      <w:pPr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O primeiro crédito da folha é exclusivo. A portabilidade salarial permanece gratuita, e a oferta de consignado é facultativa e sem exclusividade, sujeita à adesão, à margem, às normas aplicáveis e à análise de crédito. Não há garantia de retenção de beneficiários, venda de produtos, saldo médio, margem capturada ou receita futura.</w:t>
      </w:r>
    </w:p>
    <w:p w14:paraId="059190B9" w14:textId="77777777" w:rsidR="000C71EB" w:rsidRPr="007F6C8C" w:rsidRDefault="00674FCA">
      <w:pPr>
        <w:pStyle w:val="Ttulo1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lastRenderedPageBreak/>
        <w:t>4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Pagamentos incluídos no Módulo B</w:t>
      </w:r>
    </w:p>
    <w:p w14:paraId="3C69BB69" w14:textId="77777777" w:rsidR="000C71EB" w:rsidRPr="007F6C8C" w:rsidRDefault="00674FCA" w:rsidP="007F6C8C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O módulo compreende recepção, validação tecnológica, processamento, liquidação e conciliação de ordens autorizadas pela Administração, diretamente das contas oficiais de origem para a conta escolhida pelo credor. Não haverá conta de passagem, custódia, retenção de recursos, aplicação ou receita de permanência financeira na contratada; tampouco obrigação de o fornecedor abrir conta nessa instituição.</w:t>
      </w:r>
    </w:p>
    <w:p w14:paraId="3F477972" w14:textId="77777777" w:rsidR="000C71EB" w:rsidRPr="007F6C8C" w:rsidRDefault="00674FCA">
      <w:pPr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b/>
          <w:sz w:val="24"/>
          <w:szCs w:val="24"/>
          <w:lang w:val="pt-BR"/>
        </w:rPr>
        <w:t xml:space="preserve">A referência financeira de 2025 é R$ 61.872.850,42, apurada para fontes 500/501, excluído pessoal. </w:t>
      </w:r>
    </w:p>
    <w:p w14:paraId="340ADD23" w14:textId="77777777" w:rsidR="000C71EB" w:rsidRPr="007F6C8C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4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>1</w:t>
      </w:r>
      <w:r w:rsidR="007F6C8C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Histórico do universo geral de pagamentos</w:t>
      </w:r>
    </w:p>
    <w:p w14:paraId="1FD24F93" w14:textId="77777777" w:rsidR="000C71EB" w:rsidRPr="007F6C8C" w:rsidRDefault="00674FCA">
      <w:pPr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A série abaixo contém pagamentos não abrangidos pelo Módulo B. É informação de contexto e não representa quantidade contratada, demanda mínima ou dimensionamento dos serviços elegíveis.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66"/>
        <w:gridCol w:w="4320"/>
        <w:gridCol w:w="2880"/>
      </w:tblGrid>
      <w:tr w:rsidR="000C71EB" w:rsidRPr="007F6C8C" w14:paraId="524C2D11" w14:textId="77777777">
        <w:trPr>
          <w:cantSplit/>
          <w:tblHeader/>
          <w:jc w:val="center"/>
        </w:trPr>
        <w:tc>
          <w:tcPr>
            <w:tcW w:w="2966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243754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Competência</w:t>
            </w:r>
            <w:proofErr w:type="spellEnd"/>
          </w:p>
        </w:tc>
        <w:tc>
          <w:tcPr>
            <w:tcW w:w="4320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F7B59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Valor pago em R$</w:t>
            </w:r>
          </w:p>
        </w:tc>
        <w:tc>
          <w:tcPr>
            <w:tcW w:w="2880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9FEE2B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Ordens</w:t>
            </w:r>
          </w:p>
        </w:tc>
      </w:tr>
      <w:tr w:rsidR="000C71EB" w:rsidRPr="007F6C8C" w14:paraId="38F07F40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69D3E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08/2025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F3CA0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11.907.795,82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9AE28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935</w:t>
            </w:r>
          </w:p>
        </w:tc>
      </w:tr>
      <w:tr w:rsidR="000C71EB" w:rsidRPr="007F6C8C" w14:paraId="73A76A26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4E94E9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09/2025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B3A69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14.009.488,71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0B5ACD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1.384</w:t>
            </w:r>
          </w:p>
        </w:tc>
      </w:tr>
      <w:tr w:rsidR="000C71EB" w:rsidRPr="007F6C8C" w14:paraId="0BF1671E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A0216C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10/2025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2F228C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13.117.490,25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4D2781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1.562</w:t>
            </w:r>
          </w:p>
        </w:tc>
      </w:tr>
      <w:tr w:rsidR="000C71EB" w:rsidRPr="007F6C8C" w14:paraId="0E6C8DC8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0DA8EA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11/2025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215E9A1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12.447.859,05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DB0B069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1.313</w:t>
            </w:r>
          </w:p>
        </w:tc>
      </w:tr>
      <w:tr w:rsidR="000C71EB" w:rsidRPr="007F6C8C" w14:paraId="1FB073C1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87D8C4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12/2025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93D05C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13.938.992,56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AD4EAE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876</w:t>
            </w:r>
          </w:p>
        </w:tc>
      </w:tr>
      <w:tr w:rsidR="000C71EB" w:rsidRPr="007F6C8C" w14:paraId="62046D5C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55876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01/2026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3887E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6.598.649,42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C1C08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1.078</w:t>
            </w:r>
          </w:p>
        </w:tc>
      </w:tr>
      <w:tr w:rsidR="000C71EB" w:rsidRPr="007F6C8C" w14:paraId="1DEC0D30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EE44C9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02/2026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5B4BD1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9.420.325,83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7880A6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1.454</w:t>
            </w:r>
          </w:p>
        </w:tc>
      </w:tr>
      <w:tr w:rsidR="000C71EB" w:rsidRPr="007F6C8C" w14:paraId="5FBBE481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C2BCB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03/2026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CE5686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16.037.125,68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DA4CA9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1.877</w:t>
            </w:r>
          </w:p>
        </w:tc>
      </w:tr>
      <w:tr w:rsidR="000C71EB" w:rsidRPr="007F6C8C" w14:paraId="28CCF700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63A256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04/2026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FB9692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12.959.673,73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051394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1.533</w:t>
            </w:r>
          </w:p>
        </w:tc>
      </w:tr>
      <w:tr w:rsidR="000C71EB" w:rsidRPr="007F6C8C" w14:paraId="72E1B191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2C737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05/2026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57A75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14.121.939,92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BB135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1.496</w:t>
            </w:r>
          </w:p>
        </w:tc>
      </w:tr>
      <w:tr w:rsidR="000C71EB" w:rsidRPr="007F6C8C" w14:paraId="3E53F931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765F40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06/2026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4F56D4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14.620.288,90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7C2FC3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1.544</w:t>
            </w:r>
          </w:p>
        </w:tc>
      </w:tr>
      <w:tr w:rsidR="000C71EB" w:rsidRPr="007F6C8C" w14:paraId="4B6E7049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8BB3C1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07/2026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87BBC9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22.699.145,52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DFFDA82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1.980</w:t>
            </w:r>
          </w:p>
        </w:tc>
      </w:tr>
      <w:tr w:rsidR="000C71EB" w:rsidRPr="007F6C8C" w14:paraId="5188AA67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D69029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lastRenderedPageBreak/>
              <w:t>Total de 12 meses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656776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161.878.775,39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3EE94A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17.032</w:t>
            </w:r>
          </w:p>
        </w:tc>
      </w:tr>
      <w:tr w:rsidR="000C71EB" w:rsidRPr="007F6C8C" w14:paraId="361C4294" w14:textId="77777777">
        <w:trPr>
          <w:cantSplit/>
          <w:jc w:val="center"/>
        </w:trPr>
        <w:tc>
          <w:tcPr>
            <w:tcW w:w="2966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2FE0830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Média mensal</w:t>
            </w:r>
          </w:p>
        </w:tc>
        <w:tc>
          <w:tcPr>
            <w:tcW w:w="432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8CD9F3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13.489.897,95</w:t>
            </w:r>
          </w:p>
        </w:tc>
        <w:tc>
          <w:tcPr>
            <w:tcW w:w="2880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92282E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1.419,33</w:t>
            </w:r>
          </w:p>
        </w:tc>
      </w:tr>
    </w:tbl>
    <w:p w14:paraId="753307BF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41BD1E60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No universo geral foram informados 1.017 credores únicos nos 12 meses e concentração de 45,9% nos dez maiores, incluindo repasses ao FAP e ao INSS. A distribuição aproximada por banco de origem é BB 40%, Santander 30%, Bradesco 20% e demais 10%. Esses dados também não foram filtrados para o Módulo B.</w:t>
      </w:r>
    </w:p>
    <w:p w14:paraId="0F43299C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Ficam fora do fluxo recursos sujeitos a instituição ou regime específico, conforme o TR: FUNDEB, salário-educação, FNDE, SUS, piso da enfermagem, fundo a fundo estadual, FNAS, royalties, COSIP/CIDE, operações de crédito e recursos do RPPS. </w:t>
      </w:r>
    </w:p>
    <w:p w14:paraId="1EA00C42" w14:textId="77777777" w:rsidR="000C71EB" w:rsidRPr="007F6C8C" w:rsidRDefault="00674FCA">
      <w:pPr>
        <w:pStyle w:val="Ttulo1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5</w:t>
      </w:r>
      <w:r w:rsidR="005F227A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Encargos e cronograma da contratação</w:t>
      </w:r>
    </w:p>
    <w:p w14:paraId="7D02F77F" w14:textId="77777777" w:rsidR="000C71EB" w:rsidRPr="007F6C8C" w:rsidRDefault="005F227A">
      <w:pPr>
        <w:pStyle w:val="Ttulo2"/>
        <w:rPr>
          <w:rFonts w:asciiTheme="minorHAnsi" w:hAnsiTheme="minorHAnsi"/>
          <w:sz w:val="24"/>
          <w:szCs w:val="24"/>
          <w:lang w:val="pt-BR"/>
        </w:rPr>
      </w:pPr>
      <w:r>
        <w:rPr>
          <w:rFonts w:asciiTheme="minorHAnsi" w:hAnsiTheme="minorHAnsi"/>
          <w:sz w:val="24"/>
          <w:szCs w:val="24"/>
          <w:lang w:val="pt-BR"/>
        </w:rPr>
        <w:t>5.</w:t>
      </w:r>
      <w:r w:rsidR="00674FCA" w:rsidRPr="007F6C8C">
        <w:rPr>
          <w:rFonts w:asciiTheme="minorHAnsi" w:hAnsiTheme="minorHAnsi"/>
          <w:sz w:val="24"/>
          <w:szCs w:val="24"/>
          <w:lang w:val="pt-BR"/>
        </w:rPr>
        <w:t>1</w:t>
      </w:r>
      <w:r>
        <w:rPr>
          <w:rFonts w:asciiTheme="minorHAnsi" w:hAnsiTheme="minorHAnsi"/>
          <w:sz w:val="24"/>
          <w:szCs w:val="24"/>
          <w:lang w:val="pt-BR"/>
        </w:rPr>
        <w:t>.</w:t>
      </w:r>
      <w:r w:rsidR="00674FCA" w:rsidRPr="007F6C8C">
        <w:rPr>
          <w:rFonts w:asciiTheme="minorHAnsi" w:hAnsiTheme="minorHAnsi"/>
          <w:sz w:val="24"/>
          <w:szCs w:val="24"/>
          <w:lang w:val="pt-BR"/>
        </w:rPr>
        <w:t xml:space="preserve"> Custos considerados na proposta</w:t>
      </w:r>
    </w:p>
    <w:p w14:paraId="75DDB3D3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A outorga ofertada deverá considerar os custos de implantação, migração e abertura de contas; integração e interoperabilidade; licenças e infraestrutura; pessoal e atendimento local; canais digitais, cartões e acesso a numerário; testes e contingência; segurança e proteção de dados; processamento, transferências, suporte, conciliação e relatórios; transição final; tributos e encargos trabalhistas, sociais e previdenciários. </w:t>
      </w:r>
    </w:p>
    <w:p w14:paraId="5548AD0C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Não há remuneração ordinária adicional da contratada pelo Município. Não poderão ser cobrados de beneficiários ou credores os serviços assegurados gratuitamente pelo contrato ou pela regulação. O Módulo B possui custos operacionais, ainda que não receba parcela autônoma no cálculo da outorga.</w:t>
      </w:r>
    </w:p>
    <w:p w14:paraId="602387E3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Os custos de integração e de meios de pagamento necessários ao escopo divulgado cabem à contratada. A manutenção preexistente das contas públicas de origem, estranha ao objeto, não lhe é transferida por presunção. O quadro técnico deverá indicar cada custo de terceiro e quem o suporta.</w:t>
      </w:r>
    </w:p>
    <w:p w14:paraId="4E210A32" w14:textId="77777777" w:rsidR="000C71EB" w:rsidRPr="005F227A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5F227A">
        <w:rPr>
          <w:rFonts w:asciiTheme="minorHAnsi" w:hAnsiTheme="minorHAnsi"/>
          <w:sz w:val="24"/>
          <w:szCs w:val="24"/>
          <w:lang w:val="pt-BR"/>
        </w:rPr>
        <w:lastRenderedPageBreak/>
        <w:t>5</w:t>
      </w:r>
      <w:r w:rsidR="005F227A" w:rsidRPr="005F227A">
        <w:rPr>
          <w:rFonts w:asciiTheme="minorHAnsi" w:hAnsiTheme="minorHAnsi"/>
          <w:sz w:val="24"/>
          <w:szCs w:val="24"/>
          <w:lang w:val="pt-BR"/>
        </w:rPr>
        <w:t>.</w:t>
      </w:r>
      <w:r w:rsidRPr="005F227A">
        <w:rPr>
          <w:rFonts w:asciiTheme="minorHAnsi" w:hAnsiTheme="minorHAnsi"/>
          <w:sz w:val="24"/>
          <w:szCs w:val="24"/>
          <w:lang w:val="pt-BR"/>
        </w:rPr>
        <w:t>2</w:t>
      </w:r>
      <w:r w:rsidR="005F227A">
        <w:rPr>
          <w:rFonts w:asciiTheme="minorHAnsi" w:hAnsiTheme="minorHAnsi"/>
          <w:sz w:val="24"/>
          <w:szCs w:val="24"/>
          <w:lang w:val="pt-BR"/>
        </w:rPr>
        <w:t>.</w:t>
      </w:r>
      <w:r w:rsidRPr="005F227A">
        <w:rPr>
          <w:rFonts w:asciiTheme="minorHAnsi" w:hAnsiTheme="minorHAnsi"/>
          <w:sz w:val="24"/>
          <w:szCs w:val="24"/>
          <w:lang w:val="pt-BR"/>
        </w:rPr>
        <w:t xml:space="preserve"> Implantação e duração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22"/>
      </w:tblGrid>
      <w:tr w:rsidR="000C71EB" w:rsidRPr="005F227A" w14:paraId="2E3E4324" w14:textId="77777777">
        <w:trPr>
          <w:cantSplit/>
          <w:tblHeader/>
          <w:jc w:val="center"/>
        </w:trPr>
        <w:tc>
          <w:tcPr>
            <w:tcW w:w="3845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910E3B" w14:textId="77777777" w:rsidR="000C71EB" w:rsidRPr="005F227A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5F227A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Marco</w:t>
            </w:r>
          </w:p>
        </w:tc>
        <w:tc>
          <w:tcPr>
            <w:tcW w:w="6322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DBE71E" w14:textId="77777777" w:rsidR="000C71EB" w:rsidRPr="005F227A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5F227A">
              <w:rPr>
                <w:rFonts w:asciiTheme="minorHAnsi" w:hAnsiTheme="minorHAnsi"/>
                <w:b/>
                <w:sz w:val="24"/>
                <w:szCs w:val="24"/>
                <w:lang w:val="pt-BR"/>
              </w:rPr>
              <w:t>Prazo ou condição</w:t>
            </w:r>
          </w:p>
        </w:tc>
      </w:tr>
      <w:tr w:rsidR="000C71EB" w:rsidRPr="005F227A" w14:paraId="78B4B4AB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5A27C5E" w14:textId="77777777" w:rsidR="000C71EB" w:rsidRPr="005F227A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5F227A">
              <w:rPr>
                <w:rFonts w:asciiTheme="minorHAnsi" w:hAnsiTheme="minorHAnsi"/>
                <w:sz w:val="24"/>
                <w:szCs w:val="24"/>
                <w:lang w:val="pt-BR"/>
              </w:rPr>
              <w:t>Eficácia contratual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89F624" w14:textId="77777777" w:rsidR="000C71EB" w:rsidRPr="005F227A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5F227A">
              <w:rPr>
                <w:rFonts w:asciiTheme="minorHAnsi" w:hAnsiTheme="minorHAnsi"/>
                <w:sz w:val="24"/>
                <w:szCs w:val="24"/>
                <w:lang w:val="pt-BR"/>
              </w:rPr>
              <w:t>Divulgação no PNCP</w:t>
            </w:r>
          </w:p>
        </w:tc>
      </w:tr>
      <w:tr w:rsidR="000C71EB" w:rsidRPr="007F6C8C" w14:paraId="3B7F1457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83EC0C" w14:textId="77777777" w:rsidR="000C71EB" w:rsidRPr="005F227A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5F227A">
              <w:rPr>
                <w:rFonts w:asciiTheme="minorHAnsi" w:hAnsiTheme="minorHAnsi"/>
                <w:sz w:val="24"/>
                <w:szCs w:val="24"/>
                <w:lang w:val="pt-BR"/>
              </w:rPr>
              <w:t>Ordem de implantação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035FCD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2 dias úteis após a eficácia</w:t>
            </w:r>
          </w:p>
        </w:tc>
      </w:tr>
      <w:tr w:rsidR="000C71EB" w:rsidRPr="007F6C8C" w14:paraId="6E5F1386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53C116B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5F227A">
              <w:rPr>
                <w:rFonts w:asciiTheme="minorHAnsi" w:hAnsiTheme="minorHAnsi"/>
                <w:sz w:val="24"/>
                <w:szCs w:val="24"/>
                <w:lang w:val="pt-BR"/>
              </w:rPr>
              <w:t xml:space="preserve">Reunião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inicial</w:t>
            </w:r>
            <w:proofErr w:type="spellEnd"/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C74F81C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2 dias úteis da ordem de implantação</w:t>
            </w:r>
          </w:p>
        </w:tc>
      </w:tr>
      <w:tr w:rsidR="000C71EB" w:rsidRPr="007F6C8C" w14:paraId="4F151ACA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7CF53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Plano detalhado e dados municipais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D80A6E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5 dias úteis da ordem</w:t>
            </w:r>
          </w:p>
        </w:tc>
      </w:tr>
      <w:tr w:rsidR="000C71EB" w:rsidRPr="007F6C8C" w14:paraId="215B894C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B1A8B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Leiautes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e APIs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confirmados</w:t>
            </w:r>
            <w:proofErr w:type="spellEnd"/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A3A0C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10 dias úteis da ordem</w:t>
            </w:r>
          </w:p>
        </w:tc>
      </w:tr>
      <w:tr w:rsidR="000C71EB" w:rsidRPr="007F6C8C" w14:paraId="7CD7BD49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AEF97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Calendário de pagamentos e décimo terceiro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A4D6F9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15 dias corridos da ordem, pelo Município</w:t>
            </w:r>
          </w:p>
        </w:tc>
      </w:tr>
      <w:tr w:rsidR="000C71EB" w:rsidRPr="007F6C8C" w14:paraId="156850C6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85878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Ambiente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de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homologação</w:t>
            </w:r>
            <w:proofErr w:type="spellEnd"/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AC9F4E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15 dias úteis da ordem</w:t>
            </w:r>
          </w:p>
        </w:tc>
      </w:tr>
      <w:tr w:rsidR="000C71EB" w:rsidRPr="007F6C8C" w14:paraId="13E7EF37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EF82CF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Testes unitário e integrado; simulação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87A38F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25, 35 e 45 dias da ordem, respectivamente</w:t>
            </w:r>
          </w:p>
        </w:tc>
      </w:tr>
      <w:tr w:rsidR="000C71EB" w:rsidRPr="007F6C8C" w14:paraId="09FC290F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D0CD2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Migração e abertura de contas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C5AFF2D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10 dias corridos antes do primeiro crédito</w:t>
            </w:r>
          </w:p>
        </w:tc>
      </w:tr>
      <w:tr w:rsidR="000C71EB" w:rsidRPr="007F6C8C" w14:paraId="00C41279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BFD168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Decisão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de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prontidão</w:t>
            </w:r>
            <w:proofErr w:type="spellEnd"/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D15C0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5 dias antes do primeiro crédito</w:t>
            </w:r>
          </w:p>
        </w:tc>
      </w:tr>
      <w:tr w:rsidR="000C71EB" w:rsidRPr="007F6C8C" w14:paraId="3BDE3618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055996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Primeiro crédito e conclusão da implantação</w:t>
            </w:r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4AC115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Até 60 dias corridos do recebimento da ordem</w:t>
            </w:r>
          </w:p>
        </w:tc>
      </w:tr>
      <w:tr w:rsidR="000C71EB" w:rsidRPr="007F6C8C" w14:paraId="069CAF4B" w14:textId="77777777">
        <w:trPr>
          <w:cantSplit/>
          <w:jc w:val="center"/>
        </w:trPr>
        <w:tc>
          <w:tcPr>
            <w:tcW w:w="3845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CE0D09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Operação</w:t>
            </w:r>
            <w:proofErr w:type="spellEnd"/>
            <w:r w:rsidRPr="007F6C8C">
              <w:rPr>
                <w:rFonts w:asciiTheme="minorHAnsi" w:hAnsiTheme="minorHAnsi"/>
                <w:sz w:val="24"/>
                <w:szCs w:val="24"/>
              </w:rPr>
              <w:t xml:space="preserve"> e </w:t>
            </w:r>
            <w:proofErr w:type="spellStart"/>
            <w:r w:rsidRPr="007F6C8C">
              <w:rPr>
                <w:rFonts w:asciiTheme="minorHAnsi" w:hAnsiTheme="minorHAnsi"/>
                <w:sz w:val="24"/>
                <w:szCs w:val="24"/>
              </w:rPr>
              <w:t>transição</w:t>
            </w:r>
            <w:proofErr w:type="spellEnd"/>
          </w:p>
        </w:tc>
        <w:tc>
          <w:tcPr>
            <w:tcW w:w="6322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D6F5B3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  <w:lang w:val="pt-BR"/>
              </w:rPr>
            </w:pPr>
            <w:r w:rsidRPr="007F6C8C">
              <w:rPr>
                <w:rFonts w:asciiTheme="minorHAnsi" w:hAnsiTheme="minorHAnsi"/>
                <w:sz w:val="24"/>
                <w:szCs w:val="24"/>
                <w:lang w:val="pt-BR"/>
              </w:rPr>
              <w:t>60 meses operacionais; transição nos últimos 180 dias</w:t>
            </w:r>
          </w:p>
        </w:tc>
      </w:tr>
    </w:tbl>
    <w:p w14:paraId="43FD8CDD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  <w:lang w:val="pt-BR"/>
        </w:rPr>
      </w:pPr>
    </w:p>
    <w:p w14:paraId="7111D219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O início operacional exige eficácia, pagamento integral da outorga, testes aprovados, aceite da implantação, atendimento dos níveis de serviço e termo formal com datas de início e término. Atraso imputável à contratada não desloca o termo final para conceder exploração adicional. Atraso municipal exige replanejamento motivado. Não há prorrogação ordinária ou automática.</w:t>
      </w:r>
    </w:p>
    <w:p w14:paraId="53B604CA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A guia de recolhimento será disponibilizada em até dois dias úteis após a eficácia. A outorga será paga integralmente, em parcela única, em até dez dias úteis do recebimento comprovado da guia </w:t>
      </w:r>
      <w:r w:rsidRPr="007F6C8C">
        <w:rPr>
          <w:rFonts w:asciiTheme="minorHAnsi" w:hAnsiTheme="minorHAnsi"/>
          <w:sz w:val="24"/>
          <w:szCs w:val="24"/>
          <w:lang w:val="pt-BR"/>
        </w:rPr>
        <w:lastRenderedPageBreak/>
        <w:t>correta. Não há reajuste ordinário nem recálculo mensal por matrícula, preservadas as hipóteses legais de recomposição.</w:t>
      </w:r>
    </w:p>
    <w:p w14:paraId="08E28F08" w14:textId="77777777" w:rsidR="000C71EB" w:rsidRPr="007F6C8C" w:rsidRDefault="00674FCA">
      <w:pPr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br w:type="page"/>
      </w:r>
    </w:p>
    <w:p w14:paraId="7695CA9E" w14:textId="77777777" w:rsidR="000C71EB" w:rsidRPr="007F6C8C" w:rsidRDefault="005F227A">
      <w:pPr>
        <w:pStyle w:val="Ttulo1"/>
        <w:rPr>
          <w:rFonts w:asciiTheme="minorHAnsi" w:hAnsiTheme="minorHAnsi"/>
          <w:sz w:val="24"/>
          <w:szCs w:val="24"/>
          <w:lang w:val="pt-BR"/>
        </w:rPr>
      </w:pPr>
      <w:r>
        <w:rPr>
          <w:rFonts w:asciiTheme="minorHAnsi" w:hAnsiTheme="minorHAnsi"/>
          <w:sz w:val="24"/>
          <w:szCs w:val="24"/>
          <w:lang w:val="pt-BR"/>
        </w:rPr>
        <w:lastRenderedPageBreak/>
        <w:t>6.</w:t>
      </w:r>
      <w:r w:rsidR="00674FCA" w:rsidRPr="007F6C8C">
        <w:rPr>
          <w:rFonts w:asciiTheme="minorHAnsi" w:hAnsiTheme="minorHAnsi"/>
          <w:sz w:val="24"/>
          <w:szCs w:val="24"/>
          <w:lang w:val="pt-BR"/>
        </w:rPr>
        <w:t xml:space="preserve"> Conversão do lance e formulação da proposta</w:t>
      </w:r>
    </w:p>
    <w:p w14:paraId="6B8B0FC0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P é o piso da outorga; PV é o Preço Virtual registrado no sistema; OR é a Outorga Real devida ao Município. Conforme a mecânica do edital revisado, a classificação por menor PV corresponde à maior OR. O PV não é o valor a recolher.</w:t>
      </w:r>
    </w:p>
    <w:p w14:paraId="50E8186F" w14:textId="77777777" w:rsidR="000C71EB" w:rsidRPr="007F6C8C" w:rsidRDefault="00674FCA">
      <w:pPr>
        <w:spacing w:before="80" w:after="160"/>
        <w:jc w:val="center"/>
        <w:rPr>
          <w:rFonts w:asciiTheme="minorHAnsi" w:hAnsiTheme="minorHAnsi"/>
          <w:sz w:val="24"/>
          <w:szCs w:val="24"/>
          <w:lang w:val="pt-BR"/>
        </w:rPr>
      </w:pPr>
      <m:oMathPara>
        <m:oMath>
          <m:r>
            <m:rPr>
              <m:nor/>
            </m:rPr>
            <w:rPr>
              <w:rFonts w:asciiTheme="minorHAnsi" w:hAnsiTheme="minorHAnsi"/>
              <w:sz w:val="24"/>
              <w:szCs w:val="24"/>
              <w:lang w:val="pt-BR"/>
            </w:rPr>
            <m:t xml:space="preserve">PV = P² ÷ OR                 </m:t>
          </m:r>
          <w:proofErr w:type="spellStart"/>
          <m:r>
            <m:rPr>
              <m:nor/>
            </m:rPr>
            <w:rPr>
              <w:rFonts w:asciiTheme="minorHAnsi" w:hAnsiTheme="minorHAnsi"/>
              <w:sz w:val="24"/>
              <w:szCs w:val="24"/>
              <w:lang w:val="pt-BR"/>
            </w:rPr>
            <m:t>OR</m:t>
          </m:r>
          <w:proofErr w:type="spellEnd"/>
          <m:r>
            <m:rPr>
              <m:nor/>
            </m:rPr>
            <w:rPr>
              <w:rFonts w:asciiTheme="minorHAnsi" w:hAnsiTheme="minorHAnsi"/>
              <w:sz w:val="24"/>
              <w:szCs w:val="24"/>
              <w:lang w:val="pt-BR"/>
            </w:rPr>
            <m:t xml:space="preserve"> = P² ÷ PV</m:t>
          </m:r>
        </m:oMath>
      </m:oMathPara>
    </w:p>
    <w:p w14:paraId="72FE3283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Para P = R$ 4.643.359,32, utilizar P² = 21.560.785.774.630,8624. São admitidos apenas 0 &lt; PV ≤ P, com duas casas decimais. Calcular a OR a partir do PV efetivamente registrado e arredondar somente o resultado ao centavo, elevando-o quando a fração for igual ou superior a meio centavo.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0C71EB" w:rsidRPr="007F6C8C" w14:paraId="5BF42BF5" w14:textId="77777777">
        <w:trPr>
          <w:cantSplit/>
          <w:tblHeader/>
          <w:jc w:val="center"/>
        </w:trPr>
        <w:tc>
          <w:tcPr>
            <w:tcW w:w="5083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E4C3C7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 xml:space="preserve">PV </w:t>
            </w:r>
            <w:proofErr w:type="spellStart"/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registrado</w:t>
            </w:r>
            <w:proofErr w:type="spellEnd"/>
            <w:r w:rsidRPr="007F6C8C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em</w:t>
            </w:r>
            <w:proofErr w:type="spellEnd"/>
            <w:r w:rsidRPr="007F6C8C">
              <w:rPr>
                <w:rFonts w:asciiTheme="minorHAnsi" w:hAnsiTheme="minorHAnsi"/>
                <w:b/>
                <w:sz w:val="24"/>
                <w:szCs w:val="24"/>
              </w:rPr>
              <w:t xml:space="preserve"> R$</w:t>
            </w:r>
          </w:p>
        </w:tc>
        <w:tc>
          <w:tcPr>
            <w:tcW w:w="5083" w:type="dxa"/>
            <w:shd w:val="clear" w:color="auto" w:fill="E7E7E7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376A42" w14:textId="77777777" w:rsidR="000C71EB" w:rsidRPr="007F6C8C" w:rsidRDefault="00674FCA">
            <w:pPr>
              <w:spacing w:after="0" w:line="245" w:lineRule="auto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b/>
                <w:sz w:val="24"/>
                <w:szCs w:val="24"/>
              </w:rPr>
              <w:t>OR resultante em R$</w:t>
            </w:r>
          </w:p>
        </w:tc>
      </w:tr>
      <w:tr w:rsidR="000C71EB" w:rsidRPr="007F6C8C" w14:paraId="6F11BCF2" w14:textId="77777777">
        <w:trPr>
          <w:cantSplit/>
          <w:jc w:val="center"/>
        </w:trPr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14748D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4.643.359,32</w:t>
            </w:r>
          </w:p>
        </w:tc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C357F2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4.643.359,32</w:t>
            </w:r>
          </w:p>
        </w:tc>
      </w:tr>
      <w:tr w:rsidR="000C71EB" w:rsidRPr="007F6C8C" w14:paraId="65A6EA77" w14:textId="77777777">
        <w:trPr>
          <w:cantSplit/>
          <w:jc w:val="center"/>
        </w:trPr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8A8E8C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4.312.157,15</w:t>
            </w:r>
          </w:p>
        </w:tc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8B436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5.000.000,01</w:t>
            </w:r>
          </w:p>
        </w:tc>
      </w:tr>
      <w:tr w:rsidR="000C71EB" w:rsidRPr="007F6C8C" w14:paraId="2CBB9A7B" w14:textId="77777777">
        <w:trPr>
          <w:cantSplit/>
          <w:jc w:val="center"/>
        </w:trPr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7DBBB5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3.593.464,30</w:t>
            </w:r>
          </w:p>
        </w:tc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596FED9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5.999.999,99</w:t>
            </w:r>
          </w:p>
        </w:tc>
      </w:tr>
      <w:tr w:rsidR="000C71EB" w:rsidRPr="007F6C8C" w14:paraId="57B73762" w14:textId="77777777">
        <w:trPr>
          <w:cantSplit/>
          <w:jc w:val="center"/>
        </w:trPr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223DBF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3.080.112,25</w:t>
            </w:r>
          </w:p>
        </w:tc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A792CB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7.000.000,01</w:t>
            </w:r>
          </w:p>
        </w:tc>
      </w:tr>
      <w:tr w:rsidR="000C71EB" w:rsidRPr="007F6C8C" w14:paraId="3A47C809" w14:textId="77777777">
        <w:trPr>
          <w:cantSplit/>
          <w:jc w:val="center"/>
        </w:trPr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AD488F0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2.695.098,22</w:t>
            </w:r>
          </w:p>
        </w:tc>
        <w:tc>
          <w:tcPr>
            <w:tcW w:w="5083" w:type="dxa"/>
            <w:shd w:val="clear" w:color="auto" w:fill="FFFFFF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962CF7" w14:textId="77777777" w:rsidR="000C71EB" w:rsidRPr="007F6C8C" w:rsidRDefault="00674FCA">
            <w:pPr>
              <w:spacing w:after="0" w:line="245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7F6C8C">
              <w:rPr>
                <w:rFonts w:asciiTheme="minorHAnsi" w:hAnsiTheme="minorHAnsi"/>
                <w:sz w:val="24"/>
                <w:szCs w:val="24"/>
              </w:rPr>
              <w:t>8.000.000,01</w:t>
            </w:r>
          </w:p>
        </w:tc>
      </w:tr>
    </w:tbl>
    <w:p w14:paraId="6ED1E5F8" w14:textId="77777777" w:rsidR="000C71EB" w:rsidRPr="007F6C8C" w:rsidRDefault="000C71E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05706018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Os exemplos mostram a OR efetivamente derivada do lance em centavos. Ao partir de uma OR pretendida, converter para PV, arredondar o PV para registro e recalcular a OR antes de ofertar. Diferenças de centavos decorrem da conversão; o lance válido não será alterado para ajustar uma OR meramente pretendida.</w:t>
      </w:r>
    </w:p>
    <w:p w14:paraId="43233C14" w14:textId="77777777" w:rsidR="000C71EB" w:rsidRPr="007F6C8C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A proposta seguirá o modelo do edital, com identificação e CNPJ da instituição, representante, contatos, PV, OR correspondente em algarismos e por extenso, validade de 60 dias a contar da sessão e declaração de cobertura dos encargos dos Módulos A e B. O intervalo mínimo indicado no edital é de R$ 5.000,00 em PV</w:t>
      </w:r>
      <w:r w:rsidR="005F227A">
        <w:rPr>
          <w:rFonts w:asciiTheme="minorHAnsi" w:hAnsiTheme="minorHAnsi"/>
          <w:sz w:val="24"/>
          <w:szCs w:val="24"/>
          <w:lang w:val="pt-BR"/>
        </w:rPr>
        <w:t>.</w:t>
      </w:r>
    </w:p>
    <w:p w14:paraId="39C4B06B" w14:textId="77777777" w:rsidR="000C71EB" w:rsidRPr="007F6C8C" w:rsidRDefault="00674FCA">
      <w:pPr>
        <w:pStyle w:val="Ttulo2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>7</w:t>
      </w:r>
      <w:r w:rsidR="005F227A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>1</w:t>
      </w:r>
      <w:r w:rsidR="005F227A">
        <w:rPr>
          <w:rFonts w:asciiTheme="minorHAnsi" w:hAnsiTheme="minorHAnsi"/>
          <w:sz w:val="24"/>
          <w:szCs w:val="24"/>
          <w:lang w:val="pt-BR"/>
        </w:rPr>
        <w:t>.</w:t>
      </w:r>
      <w:r w:rsidRPr="007F6C8C">
        <w:rPr>
          <w:rFonts w:asciiTheme="minorHAnsi" w:hAnsiTheme="minorHAnsi"/>
          <w:sz w:val="24"/>
          <w:szCs w:val="24"/>
          <w:lang w:val="pt-BR"/>
        </w:rPr>
        <w:t xml:space="preserve"> Condições econômicas e riscos</w:t>
      </w:r>
    </w:p>
    <w:p w14:paraId="49B0DAF4" w14:textId="77777777" w:rsidR="005F227A" w:rsidRDefault="00674FCA" w:rsidP="005F227A">
      <w:pPr>
        <w:jc w:val="both"/>
        <w:rPr>
          <w:rFonts w:asciiTheme="minorHAnsi" w:hAnsiTheme="minorHAnsi"/>
          <w:sz w:val="24"/>
          <w:szCs w:val="24"/>
          <w:lang w:val="pt-BR"/>
        </w:rPr>
      </w:pPr>
      <w:r w:rsidRPr="007F6C8C">
        <w:rPr>
          <w:rFonts w:asciiTheme="minorHAnsi" w:hAnsiTheme="minorHAnsi"/>
          <w:sz w:val="24"/>
          <w:szCs w:val="24"/>
          <w:lang w:val="pt-BR"/>
        </w:rPr>
        <w:t xml:space="preserve">Os dados históricos certificados vinculam a Administração quanto à sua correção e à descrição do escopo. Não garantem manutenção do quadro, volumes futuros, permanência de usuários, </w:t>
      </w:r>
      <w:r w:rsidRPr="007F6C8C">
        <w:rPr>
          <w:rFonts w:asciiTheme="minorHAnsi" w:hAnsiTheme="minorHAnsi"/>
          <w:sz w:val="24"/>
          <w:szCs w:val="24"/>
          <w:lang w:val="pt-BR"/>
        </w:rPr>
        <w:lastRenderedPageBreak/>
        <w:t>rentabilidade ou adesão comercial. Cabe ao licitante estimar custos, portabilidade, receitas lícitas e risco de crédito. A classificação como informação não afasta obrigações do TR, erros materiais relevantes ou riscos atribuídos à Administração.</w:t>
      </w:r>
    </w:p>
    <w:sectPr w:rsidR="005F227A" w:rsidSect="00034616">
      <w:headerReference w:type="default" r:id="rId8"/>
      <w:footerReference w:type="default" r:id="rId9"/>
      <w:pgSz w:w="12240" w:h="15840"/>
      <w:pgMar w:top="965" w:right="1037" w:bottom="922" w:left="1037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16F34" w14:textId="77777777" w:rsidR="00674FCA" w:rsidRDefault="00674FCA">
      <w:pPr>
        <w:spacing w:after="0" w:line="240" w:lineRule="auto"/>
      </w:pPr>
      <w:r>
        <w:separator/>
      </w:r>
    </w:p>
  </w:endnote>
  <w:endnote w:type="continuationSeparator" w:id="0">
    <w:p w14:paraId="3833EDF4" w14:textId="77777777" w:rsidR="00674FCA" w:rsidRDefault="0067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6D9A" w14:textId="77777777" w:rsidR="000C71EB" w:rsidRPr="007F6C8C" w:rsidRDefault="000C71EB">
    <w:pPr>
      <w:pStyle w:val="Rodap"/>
      <w:jc w:val="right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C9391" w14:textId="77777777" w:rsidR="00674FCA" w:rsidRDefault="00674FCA">
      <w:pPr>
        <w:spacing w:after="0" w:line="240" w:lineRule="auto"/>
      </w:pPr>
      <w:r>
        <w:separator/>
      </w:r>
    </w:p>
  </w:footnote>
  <w:footnote w:type="continuationSeparator" w:id="0">
    <w:p w14:paraId="0A0BFF76" w14:textId="77777777" w:rsidR="00674FCA" w:rsidRDefault="0067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0A43B" w14:textId="03958395" w:rsidR="00122153" w:rsidRDefault="00122153" w:rsidP="00122153">
    <w:pPr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19E598FD" wp14:editId="68CC106A">
          <wp:simplePos x="0" y="0"/>
          <wp:positionH relativeFrom="column">
            <wp:posOffset>2399030</wp:posOffset>
          </wp:positionH>
          <wp:positionV relativeFrom="paragraph">
            <wp:posOffset>1905</wp:posOffset>
          </wp:positionV>
          <wp:extent cx="1657020" cy="8867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020" cy="88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22E5A0" w14:textId="77777777" w:rsidR="00122153" w:rsidRDefault="00122153" w:rsidP="00122153">
    <w:pPr>
      <w:jc w:val="center"/>
      <w:rPr>
        <w:b/>
        <w:bCs/>
      </w:rPr>
    </w:pPr>
  </w:p>
  <w:p w14:paraId="79DCCF17" w14:textId="77777777" w:rsidR="00122153" w:rsidRDefault="00122153" w:rsidP="00122153">
    <w:pPr>
      <w:jc w:val="center"/>
      <w:rPr>
        <w:b/>
        <w:bCs/>
      </w:rPr>
    </w:pPr>
  </w:p>
  <w:p w14:paraId="1A91ABF4" w14:textId="77777777" w:rsidR="00122153" w:rsidRDefault="00122153" w:rsidP="00122153">
    <w:pPr>
      <w:jc w:val="center"/>
      <w:rPr>
        <w:b/>
        <w:bCs/>
      </w:rPr>
    </w:pPr>
  </w:p>
  <w:p w14:paraId="306775FD" w14:textId="779E9A48" w:rsidR="00122153" w:rsidRDefault="00122153" w:rsidP="00122153">
    <w:pPr>
      <w:jc w:val="center"/>
      <w:rPr>
        <w:rFonts w:ascii="Times New Roman" w:hAnsi="Times New Roman"/>
        <w:b/>
        <w:bCs/>
        <w:color w:val="auto"/>
        <w:sz w:val="22"/>
      </w:rPr>
    </w:pPr>
    <w:r>
      <w:rPr>
        <w:b/>
        <w:bCs/>
      </w:rPr>
      <w:t>MUNICÍPIO DE SANTO ANTÔNIO DE PÁDUA – RJ</w:t>
    </w:r>
  </w:p>
  <w:p w14:paraId="2FA493E7" w14:textId="5E1D86F7" w:rsidR="00122153" w:rsidRDefault="00122153" w:rsidP="00122153">
    <w:pPr>
      <w:jc w:val="center"/>
      <w:rPr>
        <w:b/>
        <w:bCs/>
      </w:rPr>
    </w:pPr>
    <w:proofErr w:type="spellStart"/>
    <w:r>
      <w:rPr>
        <w:b/>
        <w:bCs/>
      </w:rPr>
      <w:t>Coordenação</w:t>
    </w:r>
    <w:proofErr w:type="spellEnd"/>
    <w:r>
      <w:rPr>
        <w:b/>
        <w:bCs/>
      </w:rPr>
      <w:t xml:space="preserve"> de </w:t>
    </w:r>
    <w:proofErr w:type="spellStart"/>
    <w:r>
      <w:rPr>
        <w:b/>
        <w:bCs/>
      </w:rPr>
      <w:t>Planejamento</w:t>
    </w:r>
    <w:proofErr w:type="spellEnd"/>
    <w:r>
      <w:rPr>
        <w:b/>
        <w:bCs/>
      </w:rPr>
      <w:t xml:space="preserve"> de </w:t>
    </w:r>
    <w:proofErr w:type="spellStart"/>
    <w:r>
      <w:rPr>
        <w:b/>
        <w:bCs/>
      </w:rPr>
      <w:t>Contratações</w:t>
    </w:r>
    <w:proofErr w:type="spellEnd"/>
  </w:p>
  <w:p w14:paraId="2DCFA5DF" w14:textId="77777777" w:rsidR="00122153" w:rsidRDefault="00122153" w:rsidP="00122153">
    <w:pPr>
      <w:jc w:val="center"/>
    </w:pPr>
  </w:p>
  <w:p w14:paraId="57CACFD8" w14:textId="77777777" w:rsidR="00122153" w:rsidRDefault="00122153" w:rsidP="00122153">
    <w:pPr>
      <w:jc w:val="both"/>
      <w:rPr>
        <w:lang w:val="pt-PT"/>
      </w:rPr>
    </w:pPr>
    <w:r>
      <w:rPr>
        <w:b/>
        <w:bCs/>
      </w:rPr>
      <w:t xml:space="preserve">PROCESSO ADMINISTRATIVO Nº 4739/2026 - </w:t>
    </w:r>
    <w:r>
      <w:rPr>
        <w:lang w:val="pt-PT"/>
      </w:rPr>
      <w:t>Contratação de Instituição Financeira, para gestão da folha de pagamentos de servidores ativos, inativos, aposentados e pensionistas.</w:t>
    </w:r>
  </w:p>
  <w:p w14:paraId="1A9483E3" w14:textId="77777777" w:rsidR="00122153" w:rsidRDefault="00122153" w:rsidP="00122153">
    <w:pPr>
      <w:jc w:val="both"/>
      <w:rPr>
        <w:lang w:val="pt-PT"/>
      </w:rPr>
    </w:pPr>
  </w:p>
  <w:p w14:paraId="2F38762E" w14:textId="77777777" w:rsidR="00122153" w:rsidRPr="00122153" w:rsidRDefault="00122153" w:rsidP="00122153">
    <w:pPr>
      <w:pStyle w:val="Cabealho"/>
      <w:jc w:val="center"/>
      <w:rPr>
        <w:bCs/>
        <w:lang w:val="pt-BR"/>
      </w:rPr>
    </w:pPr>
    <w:r w:rsidRPr="00122153">
      <w:rPr>
        <w:bCs/>
        <w:lang w:val="pt-BR"/>
      </w:rPr>
      <w:t>ANEXO VII</w:t>
    </w:r>
  </w:p>
  <w:p w14:paraId="241A83FA" w14:textId="718BC962" w:rsidR="00122153" w:rsidRPr="00122153" w:rsidRDefault="00122153" w:rsidP="00122153">
    <w:pPr>
      <w:pStyle w:val="Cabealho"/>
      <w:jc w:val="center"/>
      <w:rPr>
        <w:bCs/>
        <w:lang w:val="pt-BR"/>
      </w:rPr>
    </w:pPr>
    <w:r w:rsidRPr="00122153">
      <w:rPr>
        <w:bCs/>
        <w:lang w:val="pt-BR"/>
      </w:rPr>
      <w:t>Memória de cálculo</w:t>
    </w:r>
  </w:p>
  <w:p w14:paraId="1AB9B255" w14:textId="77777777" w:rsidR="00122153" w:rsidRPr="00122153" w:rsidRDefault="00122153" w:rsidP="00122153">
    <w:pPr>
      <w:pStyle w:val="Cabealho"/>
      <w:jc w:val="center"/>
      <w:rPr>
        <w:b/>
        <w:lang w:val="pt-BR"/>
      </w:rPr>
    </w:pPr>
  </w:p>
  <w:p w14:paraId="16972DF7" w14:textId="77777777" w:rsidR="00122153" w:rsidRDefault="00122153" w:rsidP="00122153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1EB"/>
    <w:rsid w:val="00122153"/>
    <w:rsid w:val="0015074B"/>
    <w:rsid w:val="0029639D"/>
    <w:rsid w:val="00326F90"/>
    <w:rsid w:val="005F227A"/>
    <w:rsid w:val="00674FCA"/>
    <w:rsid w:val="007F6C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D50DF8"/>
  <w14:defaultImageDpi w14:val="300"/>
  <w15:docId w15:val="{5A5CF4A7-FA1E-4CC3-B2F0-BF17F860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140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7F6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6C8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6567C8-7F87-467F-902B-9B052E511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1695</Words>
  <Characters>9157</Characters>
  <Application>Microsoft Office Word</Application>
  <DocSecurity>0</DocSecurity>
  <Lines>76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Anexo VII Memória de cálculo simplificada</vt:lpstr>
      <vt:lpstr/>
    </vt:vector>
  </TitlesOfParts>
  <Company/>
  <LinksUpToDate>false</LinksUpToDate>
  <CharactersWithSpaces>10831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 Memória de cálculo simplificada</dc:title>
  <dc:subject>Estimativa da outorga e informações para formulação da proposta</dc:subject>
  <dc:creator>B&amp;M</dc:creator>
  <cp:keywords>outorga, matrícula, folha de pagamento, memória de cálculo</cp:keywords>
  <dc:description>generated by python-docx</dc:description>
  <cp:lastModifiedBy>User</cp:lastModifiedBy>
  <cp:revision>3</cp:revision>
  <cp:lastPrinted>2026-09-28T13:33:00Z</cp:lastPrinted>
  <dcterms:created xsi:type="dcterms:W3CDTF">2026-09-28T11:39:00Z</dcterms:created>
  <dcterms:modified xsi:type="dcterms:W3CDTF">2026-09-28T13:33:00Z</dcterms:modified>
</cp:coreProperties>
</file>